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41 vom 26. November 2015</w:t>
      </w:r>
    </w:p>
    <w:p>
      <w:r>
        <w:t>OW Obergericht, 2015-11-26, DE</w:t>
      </w:r>
    </w:p>
    <w:p>
      <w:r>
        <w:rPr>
          <w:b/>
        </w:rPr>
        <w:t xml:space="preserve">Quelle: </w:t>
      </w:r>
      <w:r>
        <w:t>https://mcp.opencaselaw.ch/entscheid/ow_gerichte_AbR 1990_91 Nr. 41</w:t>
      </w:r>
    </w:p>
    <w:p>
      <w:r>
        <w:t>FR: OW_GERICHTE AbR 1990/91 Nr. 41 du 26 novembre 2015</w:t>
      </w:r>
    </w:p>
    <w:p>
      <w:r>
        <w:t>IT: OW_GERICHTE AbR 1990/91 Nr. 41 del 26 novembre 2015</w:t>
      </w:r>
    </w:p>
    <w:p>
      <w:pPr>
        <w:pStyle w:val="Heading2"/>
      </w:pPr>
      <w:r>
        <w:t>Regeste</w:t>
      </w:r>
    </w:p>
    <w:p>
      <w:r>
        <w:t>AbR 1990/91 Nr. 41, S. 132: Art. 19 Abs. 1 lit. a StG 1968/1973; Art. 1 Abs. 3 lit. a Konkordat über den Abschluss von Steuerabkommen Voraussetzungen der anstelle der Vermögens- und Einkommenssteuer zu erhebenden Pauschalsteuer (E. 2). Art</w:t>
      </w:r>
    </w:p>
    <w:p>
      <w:pPr>
        <w:pStyle w:val="Heading2"/>
      </w:pPr>
      <w:r>
        <w:t>Erwägungen</w:t>
      </w:r>
    </w:p>
    <w:p>
      <w:r>
        <w:rPr>
          <w:b/>
        </w:rPr>
        <w:t>E. 1</w:t>
      </w:r>
    </w:p>
    <w:p>
      <w:r>
        <w:t>Die in dem Vertrag vom 1.12.77 festgelegten Steuerleistungen betreffen die Staats- und Gemeindesteuer. Die Bundessteuern sind nicht enthalten.</w:t>
      </w:r>
    </w:p>
    <w:p>
      <w:r>
        <w:rPr>
          <w:b/>
        </w:rPr>
        <w:t>E. 2</w:t>
      </w:r>
    </w:p>
    <w:p>
      <w:r>
        <w:t>In die Vereinbarung vom l.12.77 ist auch eine eventuell noch zu gründende Tochtergesellschaft der X. AG miteinbezogen. Die festgelegte Steuerleistung umfasst dann beide Unternehmen.</w:t>
      </w:r>
    </w:p>
    <w:p>
      <w:r>
        <w:rPr>
          <w:b/>
        </w:rPr>
        <w:t>E. 3</w:t>
      </w:r>
    </w:p>
    <w:p>
      <w:r>
        <w:t>a) Unklar sind zum Teil die näheren Umstände, unter welchen es zum Abschluss der Vereinbarung gekommen ist.... b) Nach der Aktenlage ist davon auszugehen, dass das an sich an die Finanzdirektion adressierte Schreiben vom 9. Dezember 1977 zusammen mit der ebenfalls auf diesen Tag datierten Zusatzvereinbarung nicht per Post nach Sarnen gelangte - damit auch nicht direkt auf das Pult des Angeklagten -, sondern von X. persönlich zur Besprechung mit nach Sarnen gebracht wurde. An der fraglichen Besprechung nahm der Angeklagte nicht teil. Ob der Zusatz zu Ziff. 3 anlässlich dieser Besprechung oder aber erst nachträglich in die Vereinbarung aufgenommen wurde, bleibt unklar. Es ist allerdings kaum vorstellbar, dass der Steuerverwalter die Vereinbarung, so wie X. sie ursprünglich formuliert hatte, durchgelassen hätte. Sie war nicht nur ungesetzlich, sondern stand auch in offenem Widerspruch zu den vom Steuerverwalter selber schriftlich festgehaltenen Bedingungen. Es drängt sich daher auf, dass entweder die Vertreter des Kantons anlässlich der Besprechung, wie dies X. schilderte, genau deshalb intervenierten und ihre Zustimmung davon abhängig machten, dass die Pauschalsteuer durch Einfügen des umstrittenen Zusatzes in eine Mindeststeuer umgewandelt werde, oder aber, dass der Steuerverwalter diese Korrektur nachträglich, d.h. nach der Unterzeichnung der Vereinbarung vornahm. Dabei kann nicht ausgeschlossen werden, dass beim nachträglichen Eintippen die Tragweite von Satz 2 der Ziff. 3 der Vereinbarung ("weitere Steuerforderungen fallen nicht an und sind ausgeschlossen") übersehen wurde und die Kantonsvertreter X. zumindest teilweise auf den Leim gingen. Jedenfalls blieb trotz des nachträglichen Zusatzes dieser fatale, weitere Steuerforderungen und mithin auch eine Vermögenssteuer ausschliessende Satz stehen. c) Unklar sind auch die näheren Umstände der Unterzeichnung der Vereinbarung vom 9. Dezember 1977. Letztlich kann aber offenbleiben, wann und im Beisein welcher Personen die fragliche Besprechung stattfand und wer dem Angeklagten die Vereinbarung zur Unterzeichnung überbrachte. Entscheidend ist, dass der Angeklagte die Vereinbarung vom 9. Dezember 1977 durchgelesen, unterzeichnet und damit die steuerliche Sonderbehandlung von X. verursacht hat.</w:t>
      </w:r>
    </w:p>
    <w:p>
      <w:r>
        <w:rPr>
          <w:b/>
        </w:rPr>
        <w:t>E. 4</w:t>
      </w:r>
    </w:p>
    <w:p>
      <w:r>
        <w:t>a) Art. 312 StGB setzt in objektiver Hinsicht voraus, dass das Mitglied einer Behörde oder ein Beamter seine Amtsgewalt missbraucht. Die Verteidigung brachte diesbezüglich vor, dass es bei der in Frage stehenden Steuervereinbarung nicht um eine Äusserung staatlicher Befehlsgewalt gegangen sei, sondern lediglich um den Abschluss einer Vereinbarung. Schon aus diesem Grunde könne kein Amtsmissbrauch vorliegen. In BGE 101 IV 410 hatte das Bundesgericht erkannt, dass der Zuschlag einer öffentlichen Arbeit an einen privaten Unternehmer aufgrund vorangegangener Ausschreibung und die Verweigerung dieses Zuschlags an einen Bewerber - also die Vereinbarung des Gemeinwesens mit dem Unternehmer - keine solche Äusserung staatlicher Befehlsgewalt darstelle, weshalb nicht Art. 312 StGB, sondern gegebenenfalls Art. 314 StGB (ungetreue Amtsführung bei einem Rechtsgeschäft) Anwendung finden könne. Dies stimmt mit der in der Doktrin allerdings nicht völlig unumstrittenen Praxis des Bundesgerichts in bezug auf den Begriff der Verfügung gemäss den Art. 84 und 97 OG überein, wonach die Vergebung öffentlicher Arbeiten keine Verfügung darstellt (BGE 115 IA 78 E. 1b). Demgegenüber berühren sog. Steuererleichterungen gemäss Art. 19 StGB 1968/73, wie sie vorliegend zur Diskussion stehen, öffentlichrechtliche Schuldverhältnisse. Auch wenn vorgängig zwischen Steuerschuldner und zuständiger Behörde eine Verständigung stattfindet, und diese formal in eine Vereinbarung gekleidet wurde, wird die Steuerleistungspflicht dennoch verfügungsmässig festgestellt (vgl. Martin Zweifel, Die Sachverhaltsermittlung im Steuerveranlagungsverfahren, Zürich 1989, 2 f.). Ob dies in eigentlicher Verfügungsform geschieht oder durch Zustimmung der zuständigen Behörde, ist irrelevant. Es verhält sich dabei ähnlich, wie bei einer Konzessionserteilung, die von der herrschenden Lehre und Praxis als mitwirkungsbedürftige Verfügung qualifiziert wird (vgl. Imboden/Rhinow, Schweiz. Verwaltungsrechtsprechung, Bd. II, 835; zur Abgrenzung von Verfügung und Vertrag vgl. ferner Max Imboden, Der verwaltungsrechtliche Vertrag, ZSR N.F. 77/121 a ff. und Peter Rickli, Die Einigung zwischen Behörden und Privaten im Steuerrecht, Basel 1987, 26 ff.). Indem die vorliegend zu beurteilende Vereinbarung die Steuerleistungspflicht von X. zum Gegenstand hatte, lag in der Zustimmung des Angeklagten eine verfügungsmässige Äusserung seiner Amtsgewalt. Demzufolge kommt eine Anwendung des Art. 314 StGB (ungetreue Amtsführung) zum vornherein nicht in Frage, da diese Bestimmung voraussetzt, dass bei einem Rechtsgeschäft die zu wahrenden öffentlichen Interessen geschädigt werden. b) Art. 312 StGB umfasst nicht sämtliche pflichtwidrige Handlungen, die ein mit Zwangsgewalt ausgestatteter Beamter bei Gelegenheit der Erfüllung seiner Pflichten ausführt. Es muss sich um unzulässige Verfügungen handeln, die der Betreffende kraft seines Amtes, in Ausübung hoheitlicher Gewalt trifft. Dies wurde vom Bundesgericht z.B. im Falle verneint, da ein Beamter als ausführendes Organ nur Beschlüsse des Gemeinderates zu vollziehen hatte und dabei zu niedrige Besoldungen und Beiträge ausbezahlte. Entscheidend war für das Bundesgericht, dass dem Beamten keine Entscheidungskompetenz zustand, dass ihm in bezug auf die Höhe der auszuzahlenden Beiträge die Hände durch Besoldungsreglemente und Gemeinderatsbeschlüsse gebunden waren (BGE 114 IV 42 f.). Der vorliegend zu beurteilende Fall unterscheidet sich davon aber wesentlich: Der Angeklagte war als Finanzdirektor von Amtes wegen berufen, den in Frage kommenden Steuerschuldnern - selbstverständlich im Rahmen des Gesetzes - Steuererleichterungen zu gewähren und die entsprechende Verständigung herbeizuführen. Bei der Zustimmung des geschäftsführenden Finanzdirektors handelt es sich um eine Verfügung in Ausübung hoheitlicher Gewalt im Sinne von Art. 312 StGB. Nichts ändert daran, dass solche Verfügungen noch der zusätzlichen Genehmigung des Regierungsrates bedürfen, und ebensowenig, dass diese Genehmigung vorliegend nicht eingeholt wurde. Im Schlussbericht des Verhörrichters war allerdings in diesem Zusammenhang auch die Frage der Amtsanmassung gemäss Art. 287 StGB aufgeworfen worden, weil der Finanzdirektor die X. gewährte Steuererleichterung nicht hatte nachträglich genehmigen lassen. Die Sache war dann aber wegen Verjährung nicht weiter verfolgt worden. Hätte sich der Finanzdirektor mit der Unterzeichnung der Vereinbarung eine ihm nicht zustehende Befugnis angemasst, könnte man sich fragen, ob Amtsmissbrauch vorliegen könne. Indessen besteht kein Zweifel, dass der Angeklagte innerhalb seines Tätigkeitsbereiches gehandelt hatte. Infolgedessen lag - ungeachtet der Nichteinholung der Genehmigung des Regierungsrates - keine Amtsanmassung vor (vgl. Hauser/Rehberg, Strafrecht IV, Zürich 1989, 268). Damit hat der Angeklagte durch die Unterzeichnung der ungesetzlichen "Vereinbarung" den objektiven Tatbestand des Amtsmissbrauchs erfüllt.</w:t>
      </w:r>
    </w:p>
    <w:p>
      <w:r>
        <w:rPr>
          <w:b/>
        </w:rPr>
        <w:t>E. 5</w:t>
      </w:r>
    </w:p>
    <w:p>
      <w:r>
        <w:t>a) Amtsmissbrauch nach Art. 312 StGB setzt vorsätzliches Handeln voraus. Der Vorsatz (vgl. Art. 18 Abs. 2 StGB) hat sich dabei auf sämtliche objektiven Tatbestandsmerkmale zu beziehen, bei Art. 312 StGB somit auf den Missbrauch der Amtsgewalt. In subjektiver Hinsicht muss zusätzlich Bevorteilungs- oder Benachteiligungsabsicht vorliegen. b) Vorsätzlich handelt, wer die Tat mit Wissen und Willen ausführt (Art. 18 Abs. 2 StGB). Nach herrschender Lehre und Rechtsprechung genügt auch Eventualvorsatz. Er liegt vor, wenn der Täter den als möglich vorausgesehenen Erfolg für den Fall seines Eintritts billigt, sich mit ihm abfindet oder ihn in Kauf nimmt (vgl. statt vieler BGE 105 IV 14, 98 IV 66, 96 IV 100; LGVE 1987 I Nr. 51; Günter Stratenwerth, Schweiz. Strafrecht, Allgemeiner Teil I, Zürich 1986, 88 f.; Stefan Trechsel, Schweiz. Strafgesetzbuch, Kurzkommentar, Zürich 1989, 46 ff.). Ob der Angeklagte vorsätzlich bzw. eventualvorsätzlich gehandelt hat, ist aufgrund der Gesamtheit von Indizien, die geeignet sind, die innere Überzeugung des Richters zu begründen, zu entscheiden. In der Appellationsverhandlung führte der Angeklagte diesbezüglich aus, er sei davon ausgegangen, dass die Fr. 80'000.-- Einkommen nie erreicht würden, weshalb er die Maximalsteuer als zulässig erachtet habe. Dies zeigt zwar, dass es ihm nicht darum ging, den Fiskus zu schädigen. Immerhin ergibt sich auch aus dieser Aussage, dass dem Angeklagten der Begriff der Maximalsteuer geläufig war und er um deren Problematik wusste. Der Angeklagte wusste auch, dass es ein Konkordat über Steuerabkommen gibt, und dass das kantonale Steuergesetz Bestimmungen über den Abschluss von Steuerabkommen bzw. Steuererleichterungen enthält Trotzdem unterliess er es, die Zulässigkeit einer solchen Maximalsteuer zu überprüfen. Dies belegt, dass er sich letztlich damit abfand, eine in Widerspruch zu den gesetzlichen Bestimmungen stehende Steuervereinbarung zu schliessen. (Ginge man davon aus, dass der nachträgliche Zusatz Ziff. 3 der Vereinbarung, der die Pauschalsteuer wenigstens in bezug auf das Einkommen in eine Mindeststeuer umwandelte, bei der Unterzeichnung noch nicht angebracht war, wie dies der Angeklagte behauptet, hätte er am 19. Dezember 1987 gar eine "klassische" Pauschalsteuervereinbarung unterzeichnet.) c) Der Angeklagte musste aufgrund des Wortlautes der Vereinbarung erkennen, dass sie nicht bloss die X. AG, sondern auch X. persönlich betraf, ist doch in der Vereinbarung die Rede davon, X. werde "für sich und seine Familie eine zusätzliche Steuerleistung" aus einem Jahreseinkommen von Fr. 80'000.-- erbringen. Er nahm in Kauf, dass die privaten Vermögensverhältnisse von X. gar nicht näher abgeklärt wurden. Der Angeklagte gab zu, dass man nicht gewusst habe, was für ein Vermögen X. hatte. Es macht daher den Anschein, dass der Angeklagte sich von der Überlegung leiten liess, einen neuen Arbeitgeber und finanzkräftigen Steuerzahler nach Obwalden zu holen. Wohl aus diesem Grund fand er sich damit ab, dass auf eine gesetzmässige Steuerveranlagung verzichtet wurde. e) Dass der Angeklagte schliesslich die Steuervereinbarung nicht wie in Art. 19 StG vorgeschrieben dem Regierungsrat vorlegte, was allerdings hier nicht zu beurteilen ist, zeigt, dass der Angeklagte in dieser Angelegenheit ganz allgemein in Kauf nahm, sich über die geltenden Vorschriften hinwegzusetzen. Zusammenfassend ist erstellt, dass der Missbrauch der Amtsgewalt vom Eventualvorsatz des Angeklagten gedeckt war. f) Zu prüfen bleibt, ob der Angeklagte die Amtsgewalt missbraucht hat, um sich oder einem andern einen unrechtmässigen Vorteil zu verschaffen oder einem andern einen Nachteil zuzufügen. In solcher Bevorteilungs- oder Benachteiligungsabsicht (vgl. Trechsel, a.a.O., 793) hat der Täter gehandelt, wenn er diesen Erfolg gewollt hat (BGE 80 IV 120). Gewollt ist aber ein Erfolg nicht nur dann, wenn ihn der Täter anstrebt, sondern auch dann, wenn ihn die Aussicht auf den bloss möglichen, nicht sicheren Eintritt des Erfolgs nicht von der bewussten und gewollten Begehung der Tat abhält; in letzterem Falle handelt er mit Eventualabsicht, die nach ständiger Rechtsprechung des Bundesgerichts bei Absichtsdelikten genügt (BGE 105 IV 36, 80 IV 121, 76 IV 245, 74 IV 47, 72 IV 125; Trechsel, a.a.O., 48; Stratenwerth, Allgemeiner Teil I, 170 ff.). Wohl strebte der Angeklagte nicht direkt an, X. durch den Abschluss der Steuervereinbarung einen unrechtmässigen Vorteil zu verschaffen. Er musste aber damit rechnen, dass dieser Erfolg möglicherweise eintreten werde und liess sich von der Erwägung leiten, dass dieser Nachteil durch die mit der Industrieansiedlung erhofften Vorteile aufgewogen werde. Damit nahm er in Kauf, dass X. in Widerspruch zur gesetzlichen Regelung ein steuerlicher Vorteil erwachsen werde. Demnach steht fest, dass der Angeklagte in Eventualabsicht gehandelt und dergestalt auch den subjektiven Tatbestand des Amtsmissbrauchs erfüllt hat. Er ist daher des Amtsmissbrauchs gemäss Art. 312 StGB schuldig zu sprechen. de| fr | it Schlagworte pauschalsteuer iv steuerabkommen obwalden amtsmissbrauch vorteil einkommen kanton staat vermögen schweiz ungetreue amtsführung frage regierungsrat beamter Mehr Deskriptoren anzeigen Normen Bund BGG: Art.84 Art.97 StGB: Art.312 Art.314 StGB: Art.18 Art.19 Art.287 Art.312 Art.314 StG: Art.19 671.1: - LGVE 1987 I Nr.51 Leitentscheide BGE 76-IV-245 105-IV-29 S.36 98-IV-65 S.66 72-IV-121 S.125 80-IV-117 S.121 115-IA-76 S.78 105-IV-14 80-IV-117 S.120 96-IV-99 S.100 114-IV-41 S.42 74-IV-41 S.47 101-IV-407 S.410 AbR 1990/91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